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right"/>
        <w:tblLayout w:type="fixed"/>
        <w:tblLook w:val="0000" w:firstRow="0" w:lastRow="0" w:firstColumn="0" w:lastColumn="0" w:noHBand="0" w:noVBand="0"/>
      </w:tblPr>
      <w:tblGrid>
        <w:gridCol w:w="2901"/>
        <w:gridCol w:w="7179"/>
      </w:tblGrid>
      <w:tr w:rsidR="0072554A" w:rsidRPr="0072554A" w:rsidTr="00D527C1">
        <w:trPr>
          <w:trHeight w:val="2336"/>
          <w:jc w:val="right"/>
        </w:trPr>
        <w:tc>
          <w:tcPr>
            <w:tcW w:w="2901" w:type="dxa"/>
          </w:tcPr>
          <w:p w:rsidR="0072554A" w:rsidRPr="0072554A" w:rsidRDefault="0072554A" w:rsidP="0072554A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  <w:lang w:eastAsia="ru-RU"/>
              </w:rPr>
            </w:pPr>
          </w:p>
          <w:p w:rsidR="0072554A" w:rsidRPr="0072554A" w:rsidRDefault="0072554A" w:rsidP="0072554A">
            <w:pPr>
              <w:spacing w:after="0" w:line="240" w:lineRule="auto"/>
              <w:ind w:right="-7608"/>
              <w:jc w:val="both"/>
              <w:rPr>
                <w:rFonts w:ascii="Arial" w:eastAsia="Times New Roman" w:hAnsi="Arial" w:cs="Times New Roman"/>
                <w:b/>
                <w:i/>
                <w:sz w:val="32"/>
                <w:szCs w:val="24"/>
                <w:lang w:eastAsia="ru-RU"/>
              </w:rPr>
            </w:pPr>
            <w:r w:rsidRPr="007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38" w:dyaOrig="1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84pt" o:ole="">
                  <v:imagedata r:id="rId7" o:title=""/>
                </v:shape>
                <o:OLEObject Type="Embed" ProgID="CorelDRAW.Graphic.12" ShapeID="_x0000_i1025" DrawAspect="Content" ObjectID="_1677321964" r:id="rId8"/>
              </w:object>
            </w:r>
          </w:p>
        </w:tc>
        <w:tc>
          <w:tcPr>
            <w:tcW w:w="7179" w:type="dxa"/>
          </w:tcPr>
          <w:p w:rsidR="0072554A" w:rsidRPr="0072554A" w:rsidRDefault="0072554A" w:rsidP="00725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54A" w:rsidRPr="0072554A" w:rsidRDefault="0072554A" w:rsidP="00725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72554A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         </w:t>
            </w:r>
            <w:r w:rsidRPr="007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167" w:dyaOrig="780">
                <v:shape id="_x0000_i1026" type="#_x0000_t75" style="width:243pt;height:43.5pt" o:ole="">
                  <v:imagedata r:id="rId9" o:title=""/>
                </v:shape>
                <o:OLEObject Type="Embed" ProgID="CorelDRAW.Graphic.12" ShapeID="_x0000_i1026" DrawAspect="Content" ObjectID="_1677321965" r:id="rId10"/>
              </w:object>
            </w:r>
          </w:p>
          <w:p w:rsidR="0072554A" w:rsidRPr="0072554A" w:rsidRDefault="0072554A" w:rsidP="0072554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650066, </w:t>
            </w:r>
            <w:proofErr w:type="spellStart"/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пр. Октябрьский, 2б, пом.704 </w:t>
            </w:r>
          </w:p>
          <w:p w:rsidR="0072554A" w:rsidRPr="0072554A" w:rsidRDefault="0072554A" w:rsidP="0072554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тел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. 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8(3842)900-928, 900-924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 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факс:8(3842)900-020</w:t>
            </w:r>
          </w:p>
          <w:p w:rsidR="0072554A" w:rsidRPr="0072554A" w:rsidRDefault="0072554A" w:rsidP="0072554A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e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  <w:t>-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t>mail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t xml:space="preserve">: 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begin"/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pt-BR" w:eastAsia="ru-RU"/>
              </w:rPr>
              <w:instrText xml:space="preserve"> HYPERLINK mailto:auditoptim@mail.ru </w:instrTex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separate"/>
            </w:r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  <w:lang w:val="pt-BR" w:eastAsia="ru-RU"/>
              </w:rPr>
              <w:t>auditoptim@yandex.ru</w:t>
            </w:r>
            <w:r w:rsidRPr="0072554A"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val="en-US" w:eastAsia="ru-RU"/>
              </w:rPr>
              <w:fldChar w:fldCharType="end"/>
            </w:r>
            <w:r w:rsidRPr="0072554A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  <w:p w:rsidR="0072554A" w:rsidRPr="0072554A" w:rsidRDefault="0072554A" w:rsidP="0072554A">
            <w:pPr>
              <w:tabs>
                <w:tab w:val="left" w:pos="550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 w:val="20"/>
                <w:szCs w:val="20"/>
                <w:lang w:eastAsia="ru-RU"/>
              </w:rPr>
            </w:pPr>
            <w:r w:rsidRPr="0072554A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сайт: </w:t>
            </w:r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www</w:t>
            </w:r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auditoptim</w:t>
            </w:r>
            <w:proofErr w:type="spellEnd"/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proofErr w:type="spellStart"/>
            <w:r w:rsidRPr="0072554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2554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72554A" w:rsidRPr="0072554A" w:rsidRDefault="0072554A" w:rsidP="00725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</w:p>
        </w:tc>
      </w:tr>
    </w:tbl>
    <w:p w:rsidR="00463834" w:rsidRPr="0072554A" w:rsidRDefault="0072554A" w:rsidP="0072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5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Расчет НДФЛ по прогрессивной ставке в 2021 г.</w:t>
      </w:r>
    </w:p>
    <w:p w:rsidR="0072554A" w:rsidRPr="00414993" w:rsidRDefault="0072554A" w:rsidP="00725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554A" w:rsidRDefault="00463834" w:rsidP="0046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Вопрос: </w:t>
      </w:r>
    </w:p>
    <w:p w:rsidR="00463834" w:rsidRPr="00414993" w:rsidRDefault="00463834" w:rsidP="00725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Просим Вас дать разъяснения о порядке расчета НДФЛ, начиная с 01.01.2021 г.:</w:t>
      </w:r>
    </w:p>
    <w:p w:rsidR="00463834" w:rsidRPr="00414993" w:rsidRDefault="00463834" w:rsidP="00463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организация (налоговый агент) начисляет сотруднику в 2021 г. заработную плату, оплату по ГПД, дивиденды.</w:t>
      </w:r>
    </w:p>
    <w:p w:rsidR="00463834" w:rsidRPr="00414993" w:rsidRDefault="00463834" w:rsidP="00463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-Должна ли организация (налоговый агент) учитывать (суммировать) доход сотрудника у других налоговых агентов для применения ставок 13% и 15% соответственно.</w:t>
      </w:r>
    </w:p>
    <w:p w:rsidR="00463834" w:rsidRPr="00414993" w:rsidRDefault="00463834" w:rsidP="004638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-Каким образом по результату налогового периода будут суммироваться налоговые базы разных налоговых агентов, будет ли в связи с этим возникать необходимость перерасчета НДФЛ по налогоплательщику у организации (налогового агента).</w:t>
      </w:r>
    </w:p>
    <w:p w:rsidR="00463834" w:rsidRPr="00414993" w:rsidRDefault="00463834" w:rsidP="0046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554A" w:rsidRDefault="000B3536" w:rsidP="000B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color w:val="000000" w:themeColor="text1"/>
          <w:sz w:val="24"/>
          <w:szCs w:val="24"/>
          <w:lang w:eastAsia="ru-RU"/>
        </w:rPr>
        <w:t xml:space="preserve">Ответ: </w:t>
      </w:r>
    </w:p>
    <w:p w:rsidR="00604C3C" w:rsidRPr="00414993" w:rsidRDefault="00604C3C" w:rsidP="00725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01.01.2021 г. Федеральным законом от 23.11.2020 N 372-ФЗ внесены изменения в НК РФ в части введе</w:t>
      </w:r>
      <w:r w:rsidR="008F0C4D"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нового порядка расчета НДФЛ.</w:t>
      </w:r>
    </w:p>
    <w:p w:rsidR="00604C3C" w:rsidRPr="00414993" w:rsidRDefault="001D70E2" w:rsidP="008F0C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НК РФ </w:t>
      </w:r>
      <w:r w:rsidR="00604C3C"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введены </w:t>
      </w: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 понятия – </w:t>
      </w:r>
      <w:r w:rsidRPr="00414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«совокупность налоговых баз» и «основная налоговая база».</w:t>
      </w:r>
      <w:r w:rsidRPr="0041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4318" w:rsidRPr="00414993" w:rsidRDefault="008F0C4D" w:rsidP="008F0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п.2.1-2.3 ст. 210 НК РФ 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6F4318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овокупность налоговых баз,</w:t>
      </w:r>
      <w:r w:rsidR="006F4318"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которой применяется налоговая ставка, предусмотренная п. 1 ст. 224 НК РФ, включает в себя следующие налоговые базы, каждая из которых определяется в отношении доходов физических лиц - налоговых резидентов </w:t>
      </w:r>
      <w:r w:rsidR="00A95869"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r w:rsidR="006F4318"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отдельно: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1) налоговая база по доходам от долевого участия (в том числе по доходам в виде дивидендов, выплаченных иностранной организации по акциям (долям) российской организации, признанных отраженными налогоплательщиком в налоговой декларации в составе доходов);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2) налоговая база по доходам в виде выигрышей, полученных участниками азартных игр и участниками лотерей;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3) налоговая база по доходам по операциям с ценными бумагами и по операциям с производными финансовыми инструментами;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4) налоговая база по операциям РЕПО, объектом которых являются ценные бумаги;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5) налоговая база по операциям займа ценными бумагами;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6) налоговая база по доходам, полученным участниками инвестиционного товарищества;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7) налоговая база по операциям с ценными бумагами и по операциям с производными финансовыми инструментами, учитываемым на индивидуальном инвестиционном счете;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>8) налоговая база по доходам в виде сумм прибыли контролируемой иностранной компании (в том числе фиксированной прибыли контролируемой иностранной компании);</w:t>
      </w:r>
    </w:p>
    <w:p w:rsidR="006F4318" w:rsidRPr="00414993" w:rsidRDefault="006F4318" w:rsidP="00B40E28">
      <w:pPr>
        <w:autoSpaceDE w:val="0"/>
        <w:autoSpaceDN w:val="0"/>
        <w:adjustRightInd w:val="0"/>
        <w:spacing w:after="0" w:line="240" w:lineRule="auto"/>
        <w:ind w:left="540" w:hanging="1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налоговая база по иным доходам, в отношении которых применяется налоговая ставка, предусмотренная п</w:t>
      </w:r>
      <w:r w:rsidR="00A95869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ст</w:t>
      </w:r>
      <w:r w:rsidR="00A95869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224 </w:t>
      </w:r>
      <w:r w:rsidR="00A95869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 РФ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(далее - основная налоговая база).</w:t>
      </w:r>
    </w:p>
    <w:p w:rsidR="00604C3C" w:rsidRPr="00414993" w:rsidRDefault="00604C3C" w:rsidP="001D70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0B90" w:rsidRPr="00414993" w:rsidRDefault="00530B90" w:rsidP="00530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Таким образом, 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8F0C4D" w:rsidRPr="00414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сновная налоговая база</w:t>
      </w:r>
      <w:r w:rsidR="008F0C4D" w:rsidRPr="00414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8F0C4D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включает зарплату, отпускные, больничные, выплаты по ГПД и другие основные доходы, которые облагаются по ставке 13 (15) % на основании </w:t>
      </w:r>
      <w:hyperlink r:id="rId11" w:anchor="/document/99/901765862/XA00MBI2NK/" w:history="1">
        <w:r w:rsidR="008F0C4D" w:rsidRPr="0041499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п.1</w:t>
        </w:r>
      </w:hyperlink>
      <w:r w:rsidR="008F0C4D"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ст.224 НК РФ.</w:t>
      </w:r>
      <w:r w:rsidR="008F0C4D" w:rsidRPr="004149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30B90" w:rsidRPr="00414993" w:rsidRDefault="007922BC" w:rsidP="00530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п.1 ст. 224 НК РФ п</w:t>
      </w:r>
      <w:r w:rsidR="00530B90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рименение прогрессивной ставки налога (15%) осуществляется в отношении </w:t>
      </w:r>
      <w:r w:rsidR="00530B90" w:rsidRPr="004149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совокупности налоговых 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баз</w:t>
      </w: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ее превышения свыше 5 млн. руб.</w:t>
      </w:r>
    </w:p>
    <w:p w:rsidR="002E10FE" w:rsidRPr="00414993" w:rsidRDefault="002E10FE" w:rsidP="002E10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4993" w:rsidRDefault="002E10FE" w:rsidP="0041499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2021 и 2022 годах для налоговых агентов установлен переходный период, в рамках которого при расчете НДФЛ с доходов резидентов и нерезидентов применяется  лимит 5 млн руб. и прогрессивн</w:t>
      </w:r>
      <w:r w:rsidR="00E7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шкал</w:t>
      </w:r>
      <w:r w:rsidR="00E7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ставок </w:t>
      </w:r>
      <w:r w:rsidRPr="00E743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отдельно к каждой </w:t>
      </w:r>
      <w:hyperlink r:id="rId12" w:anchor="/document/86/292630/" w:history="1">
        <w:r w:rsidRPr="00E743F0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налоговой базе</w:t>
        </w:r>
      </w:hyperlink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(</w:t>
      </w:r>
      <w:hyperlink r:id="rId13" w:anchor="/document/99/566382466/ZAP2BK43IB/" w:tooltip="3. В отношении доходов, полученных в 2021 или 2022 году, при исчислении налога на доходы физических лиц налоговыми агентами применяются налоговые ставки, установленные абзацами вторым..." w:history="1">
        <w:r w:rsidRPr="0041499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п. 3 ст. 2 Закона от 23.11.2020 № 372-ФЗ</w:t>
        </w:r>
      </w:hyperlink>
      <w:r w:rsidRPr="00414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414993" w:rsidRPr="00414993" w:rsidRDefault="00174195" w:rsidP="0041499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п.6 ст. 228 НК РФ в ситуации, когда </w:t>
      </w:r>
      <w:r w:rsid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налогоплательщик </w:t>
      </w:r>
      <w:proofErr w:type="spellStart"/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</w:t>
      </w:r>
      <w:proofErr w:type="spellEnd"/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/лицо в течение года получает доходы о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 нескольких налоговых агентов и </w:t>
      </w:r>
      <w:r w:rsidRPr="00793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доходы от каждого агента в отдельности не превышают 5 млн руб.</w:t>
      </w:r>
      <w:r w:rsidR="00414993" w:rsidRPr="00793D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, а в совокупности – превышают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налоговые агенты </w:t>
      </w:r>
      <w:r w:rsidR="00793D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обособленно друг от друга </w:t>
      </w: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удерживают и перечисляют НДФЛ по ставке 13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="00E7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</w:t>
      </w:r>
      <w:r w:rsidR="00765B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доходов,</w:t>
      </w:r>
      <w:r w:rsidR="00E7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полученных от самого налогового агента</w:t>
      </w:r>
      <w:r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14993" w:rsidRPr="00414993" w:rsidRDefault="00793D27" w:rsidP="00793D2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алогов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 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инспекци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итогам года определ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яется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общ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сумм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дохода </w:t>
      </w:r>
      <w:proofErr w:type="spellStart"/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</w:t>
      </w:r>
      <w:proofErr w:type="spellEnd"/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лица. С суммы, которая превысит 5 млн руб. налогов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инспекци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ей будет рассчитан 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налог по ставке 15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414993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направлено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уведомление налогоплательщику</w:t>
      </w:r>
      <w:r w:rsid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</w:t>
      </w:r>
      <w:proofErr w:type="spellEnd"/>
      <w:r w:rsid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/лицу</w:t>
      </w:r>
      <w:r w:rsidR="00174195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указанием суммы НДФЛ к доплате. </w:t>
      </w:r>
    </w:p>
    <w:p w:rsidR="00793D27" w:rsidRPr="00793D27" w:rsidRDefault="00793D27" w:rsidP="00793D2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E10FE" w:rsidRDefault="003568C3" w:rsidP="00793D2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93D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 результате</w:t>
      </w:r>
      <w:r w:rsidR="002E10FE" w:rsidRPr="00793D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2021 году Компании следует осуществлять исчисление НДФЛ следующим образом: </w:t>
      </w:r>
    </w:p>
    <w:p w:rsidR="006D75B2" w:rsidRPr="00793D27" w:rsidRDefault="006D75B2" w:rsidP="00793D2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93D27" w:rsidRDefault="00F36BE9" w:rsidP="006D75B2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Расчет сумм НДФЛ налоговым агентом осуществляется </w:t>
      </w:r>
      <w:r w:rsidR="006D7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отношении доходов</w:t>
      </w:r>
      <w:r w:rsidR="006D75B2" w:rsidRPr="006D7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физических лиц </w:t>
      </w:r>
      <w:r w:rsidR="006D75B2" w:rsidRPr="006D75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отдельно по каждой налоговой базе</w:t>
      </w:r>
      <w:r w:rsidR="00E743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формуле: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87"/>
        <w:gridCol w:w="199"/>
        <w:gridCol w:w="493"/>
        <w:gridCol w:w="900"/>
        <w:gridCol w:w="304"/>
        <w:gridCol w:w="17"/>
        <w:gridCol w:w="705"/>
        <w:gridCol w:w="396"/>
        <w:gridCol w:w="230"/>
        <w:gridCol w:w="1860"/>
        <w:gridCol w:w="270"/>
        <w:gridCol w:w="270"/>
        <w:gridCol w:w="810"/>
        <w:gridCol w:w="217"/>
      </w:tblGrid>
      <w:tr w:rsidR="00414993" w:rsidRPr="009552EC" w:rsidTr="00F36B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НДФЛ с основной базы нарастающим итогом</w:t>
            </w:r>
          </w:p>
        </w:tc>
        <w:tc>
          <w:tcPr>
            <w:tcW w:w="4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11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тыс. руб.</w:t>
            </w:r>
          </w:p>
        </w:tc>
        <w:tc>
          <w:tcPr>
            <w:tcW w:w="32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3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72554A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anchor="/document/16/73285/dfas0hwx54/" w:history="1">
              <w:r w:rsidR="002E10FE" w:rsidRPr="009552E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Основная налоговая база</w:t>
              </w:r>
            </w:hyperlink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0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млн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4993" w:rsidRPr="009552EC" w:rsidTr="00F36BE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НДФЛ с налоговой базы в виде доходов от долевого участия нарастающим итогом</w:t>
            </w:r>
          </w:p>
        </w:tc>
        <w:tc>
          <w:tcPr>
            <w:tcW w:w="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 тыс. руб.</w:t>
            </w:r>
          </w:p>
        </w:tc>
        <w:tc>
          <w:tcPr>
            <w:tcW w:w="3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2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3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</w:t>
            </w:r>
          </w:p>
        </w:tc>
        <w:tc>
          <w:tcPr>
            <w:tcW w:w="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21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72554A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anchor="/document/16/73285/dfasz1i028/" w:history="1">
              <w:r w:rsidR="002E10FE" w:rsidRPr="009552E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Налоговая база в виде доходов от долевого участия</w:t>
              </w:r>
            </w:hyperlink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млн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FE" w:rsidRPr="009552EC" w:rsidRDefault="002E10FE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2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552EC" w:rsidRPr="009552EC" w:rsidRDefault="009552EC" w:rsidP="00174195">
            <w:pPr>
              <w:spacing w:after="0" w:line="255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D75B2" w:rsidRDefault="006D75B2" w:rsidP="006D75B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EC" w:rsidRDefault="00793D27" w:rsidP="003D23DE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положений п.6 ст. 228 НК РФ Компания при расчете сумм НДФЛ с выплаченных доходов </w:t>
      </w:r>
      <w:r w:rsidR="009552EC" w:rsidRPr="00955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 налогового агента </w:t>
      </w:r>
      <w:r w:rsidRPr="009552EC">
        <w:rPr>
          <w:rFonts w:ascii="Times New Roman" w:hAnsi="Times New Roman" w:cs="Times New Roman"/>
          <w:color w:val="000000" w:themeColor="text1"/>
          <w:sz w:val="24"/>
          <w:szCs w:val="24"/>
        </w:rPr>
        <w:t>не должна учитывать</w:t>
      </w:r>
      <w:r w:rsidR="0069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(суммировать) доход сотрудника, полученный от </w:t>
      </w:r>
      <w:r w:rsidRPr="009552EC">
        <w:rPr>
          <w:rFonts w:ascii="Times New Roman" w:hAnsi="Times New Roman" w:cs="Times New Roman"/>
          <w:color w:val="000000" w:themeColor="text1"/>
          <w:sz w:val="24"/>
          <w:szCs w:val="24"/>
        </w:rPr>
        <w:t>других налоговых агентов для применения ставок 13% и 15% соответственно</w:t>
      </w:r>
      <w:r w:rsidR="009552EC" w:rsidRPr="009552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E9" w:rsidRPr="00690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Исчисление налога по указанным ставкам осуществляется Компанией, только в отношении доходов, </w:t>
      </w:r>
      <w:r w:rsidR="00F36BE9" w:rsidRPr="006904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источником которых выступает сама Компания-налоговый агент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BE9" w:rsidRPr="009552EC" w:rsidRDefault="00F36BE9" w:rsidP="00F36BE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EC" w:rsidRPr="009552EC" w:rsidRDefault="009552EC" w:rsidP="00BB6676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52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результатам налогового периода </w:t>
      </w:r>
      <w:r w:rsidR="000946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суммирование налоговых баз 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разных налоговых </w:t>
      </w:r>
      <w:r w:rsidRPr="009552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агентов</w:t>
      </w:r>
      <w:r w:rsidR="000946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осуществляется</w:t>
      </w:r>
      <w:r w:rsidR="000946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силами </w:t>
      </w:r>
      <w:r w:rsidR="002768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налоговой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инспекции 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соответствующи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перерасчет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 сумм НДФЛ. П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 </w:t>
      </w:r>
      <w:r w:rsidR="000946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возникновении необходимости 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доплаты налога инспекцией будет </w:t>
      </w:r>
      <w:r w:rsidR="00BB6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направлено</w:t>
      </w:r>
      <w:r w:rsidR="003D23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уведомление </w:t>
      </w:r>
      <w:r w:rsidR="00BB6676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налогоплательщику</w:t>
      </w:r>
      <w:r w:rsidR="00BB6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B6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</w:t>
      </w:r>
      <w:proofErr w:type="spellEnd"/>
      <w:r w:rsidR="00BB6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/лицу</w:t>
      </w:r>
      <w:r w:rsidR="00BB6676" w:rsidRPr="00414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указанием суммы НДФЛ к доплате</w:t>
      </w:r>
      <w:r w:rsidR="00BB6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D23DE" w:rsidRDefault="003D23DE" w:rsidP="009552EC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6D75B2" w:rsidRDefault="006D75B2" w:rsidP="009552EC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W w:w="13955" w:type="dxa"/>
        <w:tblInd w:w="108" w:type="dxa"/>
        <w:tblLook w:val="01E0" w:firstRow="1" w:lastRow="1" w:firstColumn="1" w:lastColumn="1" w:noHBand="0" w:noVBand="0"/>
      </w:tblPr>
      <w:tblGrid>
        <w:gridCol w:w="9815"/>
        <w:gridCol w:w="4140"/>
      </w:tblGrid>
      <w:tr w:rsidR="006D75B2" w:rsidRPr="00414993" w:rsidTr="0072554A">
        <w:tc>
          <w:tcPr>
            <w:tcW w:w="9815" w:type="dxa"/>
            <w:shd w:val="clear" w:color="auto" w:fill="auto"/>
          </w:tcPr>
          <w:p w:rsidR="006D75B2" w:rsidRPr="00414993" w:rsidRDefault="006D75B2" w:rsidP="00725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«Аудит-</w:t>
            </w:r>
            <w:proofErr w:type="spellStart"/>
            <w:r w:rsidRPr="0041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Оптим</w:t>
            </w:r>
            <w:proofErr w:type="spellEnd"/>
            <w:r w:rsidRPr="0041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-К»  </w:t>
            </w:r>
          </w:p>
        </w:tc>
        <w:tc>
          <w:tcPr>
            <w:tcW w:w="4140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5B2" w:rsidRPr="00414993" w:rsidTr="0072554A">
        <w:tc>
          <w:tcPr>
            <w:tcW w:w="9815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5B2" w:rsidRPr="00414993" w:rsidTr="0072554A">
        <w:tc>
          <w:tcPr>
            <w:tcW w:w="9815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75B2" w:rsidRPr="00414993" w:rsidTr="0072554A">
        <w:tc>
          <w:tcPr>
            <w:tcW w:w="9815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6D75B2" w:rsidRPr="00414993" w:rsidRDefault="006D75B2" w:rsidP="00676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D75B2" w:rsidRDefault="006D75B2" w:rsidP="009552EC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6D75B2" w:rsidSect="00463834">
      <w:footerReference w:type="default" r:id="rId16"/>
      <w:pgSz w:w="11906" w:h="16838"/>
      <w:pgMar w:top="794" w:right="794" w:bottom="79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B2" w:rsidRDefault="006D75B2" w:rsidP="006D75B2">
      <w:pPr>
        <w:spacing w:after="0" w:line="240" w:lineRule="auto"/>
      </w:pPr>
      <w:r>
        <w:separator/>
      </w:r>
    </w:p>
  </w:endnote>
  <w:endnote w:type="continuationSeparator" w:id="0">
    <w:p w:rsidR="006D75B2" w:rsidRDefault="006D75B2" w:rsidP="006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719848"/>
      <w:docPartObj>
        <w:docPartGallery w:val="Page Numbers (Bottom of Page)"/>
        <w:docPartUnique/>
      </w:docPartObj>
    </w:sdtPr>
    <w:sdtEndPr/>
    <w:sdtContent>
      <w:p w:rsidR="006D75B2" w:rsidRDefault="006D75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4A">
          <w:rPr>
            <w:noProof/>
          </w:rPr>
          <w:t>1</w:t>
        </w:r>
        <w:r>
          <w:fldChar w:fldCharType="end"/>
        </w:r>
      </w:p>
    </w:sdtContent>
  </w:sdt>
  <w:p w:rsidR="006D75B2" w:rsidRDefault="006D75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B2" w:rsidRDefault="006D75B2" w:rsidP="006D75B2">
      <w:pPr>
        <w:spacing w:after="0" w:line="240" w:lineRule="auto"/>
      </w:pPr>
      <w:r>
        <w:separator/>
      </w:r>
    </w:p>
  </w:footnote>
  <w:footnote w:type="continuationSeparator" w:id="0">
    <w:p w:rsidR="006D75B2" w:rsidRDefault="006D75B2" w:rsidP="006D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5E8"/>
    <w:multiLevelType w:val="multilevel"/>
    <w:tmpl w:val="EDF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E00E3"/>
    <w:multiLevelType w:val="hybridMultilevel"/>
    <w:tmpl w:val="1AB62822"/>
    <w:lvl w:ilvl="0" w:tplc="802803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A4F97"/>
    <w:multiLevelType w:val="multilevel"/>
    <w:tmpl w:val="2B8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0224"/>
    <w:multiLevelType w:val="hybridMultilevel"/>
    <w:tmpl w:val="652CB636"/>
    <w:lvl w:ilvl="0" w:tplc="1792B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6"/>
    <w:rsid w:val="00094639"/>
    <w:rsid w:val="000B3536"/>
    <w:rsid w:val="000E1DC3"/>
    <w:rsid w:val="00174195"/>
    <w:rsid w:val="001D70E2"/>
    <w:rsid w:val="0027683D"/>
    <w:rsid w:val="002C7835"/>
    <w:rsid w:val="002E10FE"/>
    <w:rsid w:val="003568C3"/>
    <w:rsid w:val="00363732"/>
    <w:rsid w:val="003D23DE"/>
    <w:rsid w:val="00414993"/>
    <w:rsid w:val="00463834"/>
    <w:rsid w:val="004F2928"/>
    <w:rsid w:val="00530B90"/>
    <w:rsid w:val="0055767C"/>
    <w:rsid w:val="00596F54"/>
    <w:rsid w:val="00604C3C"/>
    <w:rsid w:val="00641EFD"/>
    <w:rsid w:val="006904C9"/>
    <w:rsid w:val="006D0071"/>
    <w:rsid w:val="006D75B2"/>
    <w:rsid w:val="006F4318"/>
    <w:rsid w:val="0072554A"/>
    <w:rsid w:val="00765BAB"/>
    <w:rsid w:val="007922BC"/>
    <w:rsid w:val="00793D27"/>
    <w:rsid w:val="007D7470"/>
    <w:rsid w:val="008F0C4D"/>
    <w:rsid w:val="00944B93"/>
    <w:rsid w:val="009552EC"/>
    <w:rsid w:val="00975593"/>
    <w:rsid w:val="009801F1"/>
    <w:rsid w:val="009D39D1"/>
    <w:rsid w:val="009E59D2"/>
    <w:rsid w:val="00A95869"/>
    <w:rsid w:val="00B40E28"/>
    <w:rsid w:val="00BB6676"/>
    <w:rsid w:val="00BF49F6"/>
    <w:rsid w:val="00BF5B91"/>
    <w:rsid w:val="00C23454"/>
    <w:rsid w:val="00E505E4"/>
    <w:rsid w:val="00E743F0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A956"/>
  <w15:chartTrackingRefBased/>
  <w15:docId w15:val="{842CE377-DE7A-4513-B60D-1702578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071"/>
    <w:rPr>
      <w:color w:val="0000FF"/>
      <w:u w:val="single"/>
    </w:rPr>
  </w:style>
  <w:style w:type="paragraph" w:customStyle="1" w:styleId="copyright-info">
    <w:name w:val="copyright-info"/>
    <w:basedOn w:val="a"/>
    <w:rsid w:val="006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6D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1D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4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E10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B2"/>
  </w:style>
  <w:style w:type="paragraph" w:styleId="a9">
    <w:name w:val="footer"/>
    <w:basedOn w:val="a"/>
    <w:link w:val="aa"/>
    <w:uiPriority w:val="99"/>
    <w:unhideWhenUsed/>
    <w:rsid w:val="006D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B2"/>
  </w:style>
  <w:style w:type="paragraph" w:styleId="ab">
    <w:name w:val="Balloon Text"/>
    <w:basedOn w:val="a"/>
    <w:link w:val="ac"/>
    <w:uiPriority w:val="99"/>
    <w:semiHidden/>
    <w:unhideWhenUsed/>
    <w:rsid w:val="0069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2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ip.1g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ip.1g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g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gl.ru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Ксения</dc:creator>
  <cp:keywords/>
  <dc:description/>
  <cp:lastModifiedBy>Кошелева Ксения</cp:lastModifiedBy>
  <cp:revision>18</cp:revision>
  <cp:lastPrinted>2021-03-05T03:52:00Z</cp:lastPrinted>
  <dcterms:created xsi:type="dcterms:W3CDTF">2021-03-03T08:22:00Z</dcterms:created>
  <dcterms:modified xsi:type="dcterms:W3CDTF">2021-03-15T06:59:00Z</dcterms:modified>
</cp:coreProperties>
</file>